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FB" w:rsidRPr="00AD2DFB" w:rsidRDefault="00AD2DFB" w:rsidP="00AD2DFB">
      <w:pPr>
        <w:jc w:val="center"/>
        <w:rPr>
          <w:sz w:val="28"/>
          <w:szCs w:val="28"/>
        </w:rPr>
      </w:pPr>
      <w:r w:rsidRPr="00AD2DFB">
        <w:rPr>
          <w:sz w:val="28"/>
          <w:szCs w:val="28"/>
        </w:rPr>
        <w:t>Nolikums</w:t>
      </w:r>
    </w:p>
    <w:p w:rsidR="000833A3" w:rsidRDefault="00AD2DFB" w:rsidP="00AD2DFB">
      <w:pPr>
        <w:jc w:val="center"/>
        <w:rPr>
          <w:b/>
          <w:sz w:val="28"/>
          <w:szCs w:val="28"/>
        </w:rPr>
      </w:pPr>
      <w:r w:rsidRPr="00AD2DFB">
        <w:rPr>
          <w:b/>
          <w:sz w:val="28"/>
          <w:szCs w:val="28"/>
        </w:rPr>
        <w:t>galda tenisa turnīram „BALTĀ BUMBIŅA 2020”</w:t>
      </w:r>
    </w:p>
    <w:p w:rsidR="00AD2DFB" w:rsidRPr="00AD2DFB" w:rsidRDefault="00AD2DFB" w:rsidP="00AD2DFB">
      <w:pPr>
        <w:jc w:val="center"/>
        <w:rPr>
          <w:sz w:val="24"/>
          <w:szCs w:val="24"/>
        </w:rPr>
      </w:pPr>
      <w:r>
        <w:rPr>
          <w:sz w:val="24"/>
          <w:szCs w:val="24"/>
        </w:rPr>
        <w:t>Komandu (pāru) cīņa</w:t>
      </w:r>
    </w:p>
    <w:p w:rsidR="00AD2DFB" w:rsidRPr="002E554C" w:rsidRDefault="00AD2DFB" w:rsidP="00AD2DFB">
      <w:pPr>
        <w:rPr>
          <w:b/>
          <w:sz w:val="24"/>
          <w:szCs w:val="24"/>
        </w:rPr>
      </w:pPr>
      <w:r w:rsidRPr="002E554C">
        <w:rPr>
          <w:b/>
          <w:sz w:val="24"/>
          <w:szCs w:val="24"/>
          <w:u w:val="single"/>
        </w:rPr>
        <w:t>Norises laiks un vieta</w:t>
      </w:r>
      <w:r w:rsidRPr="008F40BA">
        <w:rPr>
          <w:sz w:val="24"/>
          <w:szCs w:val="24"/>
        </w:rPr>
        <w:t xml:space="preserve"> – </w:t>
      </w:r>
      <w:r w:rsidRPr="002E554C">
        <w:rPr>
          <w:b/>
          <w:sz w:val="24"/>
          <w:szCs w:val="24"/>
        </w:rPr>
        <w:t>2020.gada 15.augusts, 10:00, Piltenes iela 25, Kuldīga</w:t>
      </w:r>
    </w:p>
    <w:p w:rsidR="00AD2DFB" w:rsidRPr="008F40BA" w:rsidRDefault="00AD2DFB" w:rsidP="00AD2DFB">
      <w:pPr>
        <w:rPr>
          <w:sz w:val="24"/>
          <w:szCs w:val="24"/>
        </w:rPr>
      </w:pPr>
      <w:r w:rsidRPr="002E554C">
        <w:rPr>
          <w:b/>
          <w:sz w:val="24"/>
          <w:szCs w:val="24"/>
          <w:u w:val="single"/>
        </w:rPr>
        <w:t>Organizācija un vadība</w:t>
      </w:r>
      <w:r w:rsidRPr="008F40BA">
        <w:rPr>
          <w:sz w:val="24"/>
          <w:szCs w:val="24"/>
        </w:rPr>
        <w:t xml:space="preserve"> – Sacensības rīko Kuldīgas Novada dome un Kuldīgas NSS sadarbībā ar GTK Hercogs. Sacensības tiesā Jānis </w:t>
      </w:r>
      <w:proofErr w:type="spellStart"/>
      <w:r w:rsidRPr="008F40BA">
        <w:rPr>
          <w:sz w:val="24"/>
          <w:szCs w:val="24"/>
        </w:rPr>
        <w:t>Avdjukevičs</w:t>
      </w:r>
      <w:proofErr w:type="spellEnd"/>
      <w:r w:rsidRPr="008F40BA">
        <w:rPr>
          <w:sz w:val="24"/>
          <w:szCs w:val="24"/>
        </w:rPr>
        <w:t xml:space="preserve"> un Ieva </w:t>
      </w:r>
      <w:proofErr w:type="spellStart"/>
      <w:r w:rsidRPr="008F40BA">
        <w:rPr>
          <w:sz w:val="24"/>
          <w:szCs w:val="24"/>
        </w:rPr>
        <w:t>Lepse</w:t>
      </w:r>
      <w:proofErr w:type="spellEnd"/>
      <w:r w:rsidRPr="008F40BA">
        <w:rPr>
          <w:sz w:val="24"/>
          <w:szCs w:val="24"/>
        </w:rPr>
        <w:t xml:space="preserve">. Atbildīgais par turnīra norisi – Jānis </w:t>
      </w:r>
      <w:proofErr w:type="spellStart"/>
      <w:r w:rsidRPr="008F40BA">
        <w:rPr>
          <w:sz w:val="24"/>
          <w:szCs w:val="24"/>
        </w:rPr>
        <w:t>Avdjukevičs</w:t>
      </w:r>
      <w:proofErr w:type="spellEnd"/>
    </w:p>
    <w:p w:rsidR="00AD2DFB" w:rsidRPr="008F40BA" w:rsidRDefault="00AD2DFB" w:rsidP="00AD2DFB">
      <w:pPr>
        <w:rPr>
          <w:sz w:val="24"/>
          <w:szCs w:val="24"/>
        </w:rPr>
      </w:pPr>
      <w:r w:rsidRPr="002E554C">
        <w:rPr>
          <w:b/>
          <w:sz w:val="24"/>
          <w:szCs w:val="24"/>
          <w:u w:val="single"/>
        </w:rPr>
        <w:t>Dalības maksa</w:t>
      </w:r>
      <w:r w:rsidRPr="008F40BA">
        <w:rPr>
          <w:sz w:val="24"/>
          <w:szCs w:val="24"/>
        </w:rPr>
        <w:t xml:space="preserve"> – </w:t>
      </w:r>
      <w:r w:rsidRPr="008F40BA">
        <w:rPr>
          <w:sz w:val="24"/>
          <w:szCs w:val="24"/>
          <w:u w:val="single"/>
        </w:rPr>
        <w:t>12,- eiro no komandas/pāra (pieteikums līdz 13.08.2020 ieskaitot)</w:t>
      </w:r>
    </w:p>
    <w:p w:rsidR="00AD2DFB" w:rsidRDefault="00AD2DFB" w:rsidP="00AD2DFB">
      <w:pPr>
        <w:rPr>
          <w:sz w:val="24"/>
          <w:szCs w:val="24"/>
          <w:u w:val="single"/>
        </w:rPr>
      </w:pPr>
      <w:r w:rsidRPr="008F40BA">
        <w:rPr>
          <w:sz w:val="24"/>
          <w:szCs w:val="24"/>
        </w:rPr>
        <w:t xml:space="preserve">                            </w:t>
      </w:r>
      <w:r w:rsidRPr="008F40BA">
        <w:rPr>
          <w:sz w:val="24"/>
          <w:szCs w:val="24"/>
          <w:u w:val="single"/>
        </w:rPr>
        <w:t>-20,- eiro no komandas/pāra (piesakoties sacensību dienā)</w:t>
      </w:r>
    </w:p>
    <w:p w:rsidR="00141017" w:rsidRPr="008F40BA" w:rsidRDefault="00141017" w:rsidP="00AD2DFB">
      <w:pPr>
        <w:rPr>
          <w:sz w:val="24"/>
          <w:szCs w:val="24"/>
          <w:u w:val="single"/>
        </w:rPr>
      </w:pPr>
      <w:r>
        <w:rPr>
          <w:sz w:val="24"/>
          <w:szCs w:val="24"/>
          <w:u w:val="single"/>
        </w:rPr>
        <w:t xml:space="preserve">Iepriekš pieteikumus sūtīt </w:t>
      </w:r>
      <w:proofErr w:type="spellStart"/>
      <w:r>
        <w:rPr>
          <w:sz w:val="24"/>
          <w:szCs w:val="24"/>
          <w:u w:val="single"/>
        </w:rPr>
        <w:t>epastā</w:t>
      </w:r>
      <w:proofErr w:type="spellEnd"/>
      <w:r>
        <w:rPr>
          <w:sz w:val="24"/>
          <w:szCs w:val="24"/>
          <w:u w:val="single"/>
        </w:rPr>
        <w:t xml:space="preserve"> – </w:t>
      </w:r>
      <w:hyperlink r:id="rId6" w:history="1">
        <w:r w:rsidRPr="0077305F">
          <w:rPr>
            <w:rStyle w:val="Hipersaite"/>
            <w:sz w:val="24"/>
            <w:szCs w:val="24"/>
          </w:rPr>
          <w:t>alibaba99@inbox.lv</w:t>
        </w:r>
      </w:hyperlink>
      <w:r>
        <w:rPr>
          <w:sz w:val="24"/>
          <w:szCs w:val="24"/>
          <w:u w:val="single"/>
        </w:rPr>
        <w:t xml:space="preserve"> vai </w:t>
      </w:r>
      <w:proofErr w:type="spellStart"/>
      <w:r>
        <w:rPr>
          <w:sz w:val="24"/>
          <w:szCs w:val="24"/>
          <w:u w:val="single"/>
        </w:rPr>
        <w:t>sms</w:t>
      </w:r>
      <w:proofErr w:type="spellEnd"/>
      <w:r>
        <w:rPr>
          <w:sz w:val="24"/>
          <w:szCs w:val="24"/>
          <w:u w:val="single"/>
        </w:rPr>
        <w:t xml:space="preserve"> +371 27080482 (Jānis)</w:t>
      </w:r>
      <w:bookmarkStart w:id="0" w:name="_GoBack"/>
      <w:bookmarkEnd w:id="0"/>
    </w:p>
    <w:p w:rsidR="00653CE6" w:rsidRPr="008F40BA" w:rsidRDefault="00653CE6" w:rsidP="00AD2DFB">
      <w:pPr>
        <w:rPr>
          <w:sz w:val="24"/>
          <w:szCs w:val="24"/>
        </w:rPr>
      </w:pPr>
      <w:r w:rsidRPr="002E554C">
        <w:rPr>
          <w:b/>
          <w:sz w:val="24"/>
          <w:szCs w:val="24"/>
          <w:u w:val="single"/>
        </w:rPr>
        <w:t>Dalībnieki</w:t>
      </w:r>
      <w:r w:rsidRPr="008F40BA">
        <w:rPr>
          <w:sz w:val="24"/>
          <w:szCs w:val="24"/>
        </w:rPr>
        <w:t xml:space="preserve"> – Sacensībās piedalās ikviens galda tenisa spēlētājs no 16 gadu vecuma, kuram galda tenisa rakete un gumijas atbilst ITTF noteikumiem un ir vēl viens komandas biedrs. Vīriešu, sieviešu un jauktie pāri spēlē kopā. Kuldīgas NSS ir tiesīga pieteikt 5 (piecus) pārus, kur dalībniekiem vēl nav 16 gadu.</w:t>
      </w:r>
    </w:p>
    <w:p w:rsidR="00653CE6" w:rsidRPr="008F40BA" w:rsidRDefault="00653CE6" w:rsidP="00AD2DFB">
      <w:pPr>
        <w:rPr>
          <w:sz w:val="24"/>
          <w:szCs w:val="24"/>
        </w:rPr>
      </w:pPr>
      <w:r w:rsidRPr="002E554C">
        <w:rPr>
          <w:b/>
          <w:sz w:val="24"/>
          <w:szCs w:val="24"/>
          <w:u w:val="single"/>
        </w:rPr>
        <w:t>Sacensību izcīņas kārtība</w:t>
      </w:r>
      <w:r w:rsidRPr="008F40BA">
        <w:rPr>
          <w:sz w:val="24"/>
          <w:szCs w:val="24"/>
        </w:rPr>
        <w:t xml:space="preserve"> – Komandas tiks sadalītas vairākās apakšgrupās, ņemot vērā LGTF reitingu uz 01.08.2020</w:t>
      </w:r>
      <w:r w:rsidRPr="008F40BA">
        <w:rPr>
          <w:i/>
          <w:sz w:val="24"/>
          <w:szCs w:val="24"/>
          <w:u w:val="single"/>
        </w:rPr>
        <w:t>.  Komandas kopējo summu nosaka pēc spēlētāju vietas rei</w:t>
      </w:r>
      <w:r w:rsidR="00141017">
        <w:rPr>
          <w:i/>
          <w:sz w:val="24"/>
          <w:szCs w:val="24"/>
          <w:u w:val="single"/>
        </w:rPr>
        <w:t>ti</w:t>
      </w:r>
      <w:r w:rsidRPr="008F40BA">
        <w:rPr>
          <w:i/>
          <w:sz w:val="24"/>
          <w:szCs w:val="24"/>
          <w:u w:val="single"/>
        </w:rPr>
        <w:t xml:space="preserve">ngā. </w:t>
      </w:r>
      <w:r w:rsidRPr="008F40BA">
        <w:rPr>
          <w:sz w:val="24"/>
          <w:szCs w:val="24"/>
        </w:rPr>
        <w:t>Spēlētāji no ārvalstīm tiks ielozēti kā pirmie apakšgrupās. Tālākā izspēles sistēma atkarīga no pieteikto pāru skaita, bet iespēju robežās ar visu vietu noskaidrošanu.</w:t>
      </w:r>
    </w:p>
    <w:p w:rsidR="00653CE6" w:rsidRDefault="00653CE6" w:rsidP="00AD2DFB">
      <w:pPr>
        <w:rPr>
          <w:rFonts w:ascii="Arial" w:hAnsi="Arial" w:cs="Arial"/>
        </w:rPr>
      </w:pPr>
      <w:r w:rsidRPr="008F40BA">
        <w:rPr>
          <w:rFonts w:ascii="Arial" w:hAnsi="Arial" w:cs="Arial"/>
        </w:rPr>
        <w:t xml:space="preserve">DALĪBNIEKIEM TURNĪRĀ ATĻAUTS SPĒLĒT AR JEBKURU ITTF VISPĀRPIEŅEMTO BUMBIŅU, BET PRIEKŠROKA TIEK DOTA </w:t>
      </w:r>
      <w:r w:rsidR="008F40BA" w:rsidRPr="008F40BA">
        <w:rPr>
          <w:rFonts w:ascii="Arial" w:hAnsi="Arial" w:cs="Arial"/>
        </w:rPr>
        <w:t>NITTAKU PREMIUM 40+ 3***</w:t>
      </w:r>
      <w:r w:rsidR="008F40BA">
        <w:rPr>
          <w:rFonts w:ascii="Arial" w:hAnsi="Arial" w:cs="Arial"/>
        </w:rPr>
        <w:t>.</w:t>
      </w:r>
    </w:p>
    <w:p w:rsidR="008F40BA" w:rsidRPr="002E554C" w:rsidRDefault="008F40BA" w:rsidP="00AD2DFB">
      <w:pPr>
        <w:rPr>
          <w:rFonts w:cstheme="minorHAnsi"/>
          <w:b/>
          <w:sz w:val="24"/>
          <w:szCs w:val="24"/>
          <w:u w:val="single"/>
        </w:rPr>
      </w:pPr>
      <w:r w:rsidRPr="002E554C">
        <w:rPr>
          <w:rFonts w:cstheme="minorHAnsi"/>
          <w:b/>
          <w:sz w:val="24"/>
          <w:szCs w:val="24"/>
          <w:u w:val="single"/>
        </w:rPr>
        <w:t>Komandu/pāru izspēles kārtība –</w:t>
      </w:r>
    </w:p>
    <w:p w:rsidR="008F40BA" w:rsidRPr="002E554C" w:rsidRDefault="008F40BA" w:rsidP="00AD2DFB">
      <w:pPr>
        <w:rPr>
          <w:rFonts w:cstheme="minorHAnsi"/>
          <w:sz w:val="24"/>
          <w:szCs w:val="24"/>
        </w:rPr>
      </w:pPr>
      <w:r w:rsidRPr="002E554C">
        <w:rPr>
          <w:rFonts w:cstheme="minorHAnsi"/>
          <w:sz w:val="24"/>
          <w:szCs w:val="24"/>
        </w:rPr>
        <w:t xml:space="preserve">Uzvaru izcīna tas duets, kurš gūst </w:t>
      </w:r>
      <w:r w:rsidRPr="002E554C">
        <w:rPr>
          <w:rFonts w:cstheme="minorHAnsi"/>
          <w:sz w:val="24"/>
          <w:szCs w:val="24"/>
          <w:u w:val="single"/>
        </w:rPr>
        <w:t>2 uzvaras</w:t>
      </w:r>
      <w:r w:rsidRPr="002E554C">
        <w:rPr>
          <w:rFonts w:cstheme="minorHAnsi"/>
          <w:sz w:val="24"/>
          <w:szCs w:val="24"/>
        </w:rPr>
        <w:t xml:space="preserve"> ; </w:t>
      </w:r>
      <w:r w:rsidRPr="002E554C">
        <w:rPr>
          <w:rFonts w:cstheme="minorHAnsi"/>
          <w:sz w:val="24"/>
          <w:szCs w:val="24"/>
          <w:u w:val="single"/>
        </w:rPr>
        <w:t>1 A-X, 2 B-Y, un ja nepieciešams tad</w:t>
      </w:r>
      <w:r w:rsidRPr="002E554C">
        <w:rPr>
          <w:rFonts w:cstheme="minorHAnsi"/>
          <w:sz w:val="24"/>
          <w:szCs w:val="24"/>
        </w:rPr>
        <w:t xml:space="preserve"> </w:t>
      </w:r>
      <w:r w:rsidRPr="002E554C">
        <w:rPr>
          <w:rFonts w:cstheme="minorHAnsi"/>
          <w:sz w:val="24"/>
          <w:szCs w:val="24"/>
          <w:u w:val="single"/>
        </w:rPr>
        <w:t>dubultspēle.</w:t>
      </w:r>
    </w:p>
    <w:p w:rsidR="008F40BA" w:rsidRPr="002E554C" w:rsidRDefault="008F40BA" w:rsidP="00AD2DFB">
      <w:pPr>
        <w:rPr>
          <w:rFonts w:cstheme="minorHAnsi"/>
          <w:sz w:val="24"/>
          <w:szCs w:val="24"/>
        </w:rPr>
      </w:pPr>
      <w:r w:rsidRPr="002E554C">
        <w:rPr>
          <w:rFonts w:cstheme="minorHAnsi"/>
          <w:sz w:val="24"/>
          <w:szCs w:val="24"/>
        </w:rPr>
        <w:t>Pusfināli, spēle par 3.vietu un fināls notiek līdz 3 uzvarām, A-X, B-Y, dubultspēle, A-Y, B-X.</w:t>
      </w:r>
    </w:p>
    <w:p w:rsidR="008F40BA" w:rsidRPr="002E554C" w:rsidRDefault="008F40BA" w:rsidP="00AD2DFB">
      <w:pPr>
        <w:rPr>
          <w:rFonts w:cstheme="minorHAnsi"/>
          <w:sz w:val="24"/>
          <w:szCs w:val="24"/>
          <w:u w:val="single"/>
        </w:rPr>
      </w:pPr>
      <w:r w:rsidRPr="002E554C">
        <w:rPr>
          <w:rFonts w:cstheme="minorHAnsi"/>
          <w:sz w:val="24"/>
          <w:szCs w:val="24"/>
          <w:u w:val="single"/>
        </w:rPr>
        <w:t>A, B, X un Y vietām netiek mainīts vietām visa turnīra laikā, izņemot spēles par 1.un 3.vietu!</w:t>
      </w:r>
    </w:p>
    <w:p w:rsidR="008F40BA" w:rsidRPr="002E554C" w:rsidRDefault="008F40BA" w:rsidP="00AD2DFB">
      <w:pPr>
        <w:rPr>
          <w:rFonts w:cstheme="minorHAnsi"/>
          <w:sz w:val="24"/>
          <w:szCs w:val="24"/>
        </w:rPr>
      </w:pPr>
      <w:r w:rsidRPr="002E554C">
        <w:rPr>
          <w:rFonts w:cstheme="minorHAnsi"/>
          <w:sz w:val="24"/>
          <w:szCs w:val="24"/>
        </w:rPr>
        <w:t>Uzvarētāji saņems kausus, medaļas un diplomus, 2.un 3.vieta – medaļas un diplomus.</w:t>
      </w:r>
    </w:p>
    <w:p w:rsidR="008F40BA" w:rsidRPr="002E554C" w:rsidRDefault="008F40BA" w:rsidP="00AD2DFB">
      <w:pPr>
        <w:rPr>
          <w:rFonts w:cstheme="minorHAnsi"/>
          <w:sz w:val="24"/>
          <w:szCs w:val="24"/>
        </w:rPr>
      </w:pPr>
      <w:r w:rsidRPr="002E554C">
        <w:rPr>
          <w:rFonts w:cstheme="minorHAnsi"/>
          <w:sz w:val="24"/>
          <w:szCs w:val="24"/>
        </w:rPr>
        <w:t>Specbalvas 9.un 17.vietai.</w:t>
      </w:r>
    </w:p>
    <w:p w:rsidR="008F40BA" w:rsidRPr="002E554C" w:rsidRDefault="008F40BA" w:rsidP="00AD2DFB">
      <w:pPr>
        <w:rPr>
          <w:rFonts w:cstheme="minorHAnsi"/>
          <w:sz w:val="24"/>
          <w:szCs w:val="24"/>
        </w:rPr>
      </w:pPr>
      <w:r w:rsidRPr="002E554C">
        <w:rPr>
          <w:rFonts w:cstheme="minorHAnsi"/>
          <w:sz w:val="24"/>
          <w:szCs w:val="24"/>
        </w:rPr>
        <w:t>Turnīra rezultāti tiks iekļauti LGTF reitingā ar koeficientu 0,5</w:t>
      </w:r>
    </w:p>
    <w:p w:rsidR="00AD2DFB" w:rsidRDefault="00AD2DFB" w:rsidP="00AD2DFB"/>
    <w:sectPr w:rsidR="00AD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178"/>
    <w:multiLevelType w:val="hybridMultilevel"/>
    <w:tmpl w:val="B14C4252"/>
    <w:lvl w:ilvl="0" w:tplc="96944970">
      <w:numFmt w:val="bullet"/>
      <w:lvlText w:val="-"/>
      <w:lvlJc w:val="left"/>
      <w:pPr>
        <w:ind w:left="1650" w:hanging="360"/>
      </w:pPr>
      <w:rPr>
        <w:rFonts w:ascii="Calibri" w:eastAsiaTheme="minorHAnsi" w:hAnsi="Calibri" w:cs="Calibri" w:hint="default"/>
      </w:rPr>
    </w:lvl>
    <w:lvl w:ilvl="1" w:tplc="04260003" w:tentative="1">
      <w:start w:val="1"/>
      <w:numFmt w:val="bullet"/>
      <w:lvlText w:val="o"/>
      <w:lvlJc w:val="left"/>
      <w:pPr>
        <w:ind w:left="2370" w:hanging="360"/>
      </w:pPr>
      <w:rPr>
        <w:rFonts w:ascii="Courier New" w:hAnsi="Courier New" w:cs="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cs="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cs="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1">
    <w:nsid w:val="4C28597D"/>
    <w:multiLevelType w:val="hybridMultilevel"/>
    <w:tmpl w:val="DC6CB1DC"/>
    <w:lvl w:ilvl="0" w:tplc="661CE17C">
      <w:numFmt w:val="bullet"/>
      <w:lvlText w:val="-"/>
      <w:lvlJc w:val="left"/>
      <w:pPr>
        <w:ind w:left="1650" w:hanging="360"/>
      </w:pPr>
      <w:rPr>
        <w:rFonts w:ascii="Calibri" w:eastAsiaTheme="minorHAnsi" w:hAnsi="Calibri" w:cs="Calibri" w:hint="default"/>
      </w:rPr>
    </w:lvl>
    <w:lvl w:ilvl="1" w:tplc="04260003" w:tentative="1">
      <w:start w:val="1"/>
      <w:numFmt w:val="bullet"/>
      <w:lvlText w:val="o"/>
      <w:lvlJc w:val="left"/>
      <w:pPr>
        <w:ind w:left="2370" w:hanging="360"/>
      </w:pPr>
      <w:rPr>
        <w:rFonts w:ascii="Courier New" w:hAnsi="Courier New" w:cs="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cs="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cs="Courier New" w:hint="default"/>
      </w:rPr>
    </w:lvl>
    <w:lvl w:ilvl="8" w:tplc="04260005" w:tentative="1">
      <w:start w:val="1"/>
      <w:numFmt w:val="bullet"/>
      <w:lvlText w:val=""/>
      <w:lvlJc w:val="left"/>
      <w:pPr>
        <w:ind w:left="7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B"/>
    <w:rsid w:val="000833A3"/>
    <w:rsid w:val="00141017"/>
    <w:rsid w:val="002E554C"/>
    <w:rsid w:val="00350012"/>
    <w:rsid w:val="00653CE6"/>
    <w:rsid w:val="00820155"/>
    <w:rsid w:val="008F40BA"/>
    <w:rsid w:val="00AD2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2DFB"/>
    <w:pPr>
      <w:ind w:left="720"/>
      <w:contextualSpacing/>
    </w:pPr>
  </w:style>
  <w:style w:type="character" w:styleId="Hipersaite">
    <w:name w:val="Hyperlink"/>
    <w:basedOn w:val="Noklusjumarindkopasfonts"/>
    <w:uiPriority w:val="99"/>
    <w:unhideWhenUsed/>
    <w:rsid w:val="00141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2DFB"/>
    <w:pPr>
      <w:ind w:left="720"/>
      <w:contextualSpacing/>
    </w:pPr>
  </w:style>
  <w:style w:type="character" w:styleId="Hipersaite">
    <w:name w:val="Hyperlink"/>
    <w:basedOn w:val="Noklusjumarindkopasfonts"/>
    <w:uiPriority w:val="99"/>
    <w:unhideWhenUsed/>
    <w:rsid w:val="0014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baba99@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700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2020-07-21T16:00:00Z</dcterms:created>
  <dcterms:modified xsi:type="dcterms:W3CDTF">2020-07-21T16:00:00Z</dcterms:modified>
</cp:coreProperties>
</file>